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572" w:tblpY="3032"/>
        <w:tblW w:w="10331" w:type="dxa"/>
        <w:tblLook w:val="04A0" w:firstRow="1" w:lastRow="0" w:firstColumn="1" w:lastColumn="0" w:noHBand="0" w:noVBand="1"/>
      </w:tblPr>
      <w:tblGrid>
        <w:gridCol w:w="2255"/>
        <w:gridCol w:w="8076"/>
      </w:tblGrid>
      <w:tr w:rsidR="00472136" w:rsidRPr="008E715F" w14:paraId="27E8F3F6" w14:textId="77777777" w:rsidTr="00472136">
        <w:trPr>
          <w:trHeight w:val="303"/>
        </w:trPr>
        <w:tc>
          <w:tcPr>
            <w:tcW w:w="2255" w:type="dxa"/>
          </w:tcPr>
          <w:p w14:paraId="36866A4B" w14:textId="77777777" w:rsidR="00472136" w:rsidRPr="008E715F" w:rsidRDefault="00472136" w:rsidP="00472136">
            <w:pPr>
              <w:rPr>
                <w:rFonts w:ascii="Twinkl" w:hAnsi="Twinkl"/>
              </w:rPr>
            </w:pPr>
          </w:p>
        </w:tc>
        <w:tc>
          <w:tcPr>
            <w:tcW w:w="8076" w:type="dxa"/>
            <w:shd w:val="clear" w:color="auto" w:fill="BFBFBF" w:themeFill="background1" w:themeFillShade="BF"/>
          </w:tcPr>
          <w:p w14:paraId="2568B29B" w14:textId="4CDBBFFD" w:rsidR="00472136" w:rsidRPr="008E715F" w:rsidRDefault="00472136" w:rsidP="00472136">
            <w:pPr>
              <w:jc w:val="center"/>
              <w:rPr>
                <w:rFonts w:ascii="Twinkl" w:hAnsi="Twinkl"/>
                <w:b/>
                <w:sz w:val="28"/>
              </w:rPr>
            </w:pPr>
            <w:r w:rsidRPr="008E715F">
              <w:rPr>
                <w:rFonts w:ascii="Twinkl" w:hAnsi="Twinkl"/>
                <w:b/>
                <w:sz w:val="28"/>
              </w:rPr>
              <w:t>Year 1</w:t>
            </w:r>
          </w:p>
        </w:tc>
      </w:tr>
      <w:tr w:rsidR="00472136" w:rsidRPr="008E715F" w14:paraId="1FB3A78D" w14:textId="77777777" w:rsidTr="00472136">
        <w:trPr>
          <w:trHeight w:val="1440"/>
        </w:trPr>
        <w:tc>
          <w:tcPr>
            <w:tcW w:w="2255" w:type="dxa"/>
            <w:shd w:val="clear" w:color="auto" w:fill="BFBFBF" w:themeFill="background1" w:themeFillShade="BF"/>
          </w:tcPr>
          <w:p w14:paraId="2EE3DA3E" w14:textId="77777777" w:rsidR="00472136" w:rsidRPr="008E715F" w:rsidRDefault="00472136" w:rsidP="00472136">
            <w:pPr>
              <w:rPr>
                <w:rFonts w:ascii="Twinkl" w:hAnsi="Twinkl"/>
                <w:b/>
              </w:rPr>
            </w:pPr>
          </w:p>
          <w:p w14:paraId="6808B9F7" w14:textId="77777777" w:rsidR="00472136" w:rsidRPr="008E715F" w:rsidRDefault="00472136" w:rsidP="00472136">
            <w:pPr>
              <w:rPr>
                <w:rFonts w:ascii="Twinkl" w:hAnsi="Twinkl"/>
                <w:b/>
              </w:rPr>
            </w:pPr>
          </w:p>
          <w:p w14:paraId="31D33962" w14:textId="77777777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  <w:r w:rsidRPr="008E715F">
              <w:rPr>
                <w:rFonts w:ascii="Twinkl" w:hAnsi="Twinkl"/>
                <w:b/>
              </w:rPr>
              <w:t>Use of voice expressively and creatively</w:t>
            </w:r>
          </w:p>
        </w:tc>
        <w:tc>
          <w:tcPr>
            <w:tcW w:w="8076" w:type="dxa"/>
          </w:tcPr>
          <w:p w14:paraId="25611AC3" w14:textId="58878CF0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 xml:space="preserve">Explore the use of the voice in different ways such as speaking, singing and chanting. </w:t>
            </w:r>
          </w:p>
          <w:p w14:paraId="6336B006" w14:textId="606F1372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1,2,3,4,7,9</w:t>
            </w:r>
          </w:p>
          <w:p w14:paraId="194C7A1E" w14:textId="2049E7F0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 xml:space="preserve">Discover how the voice can produce rhythm and pulse, high and low (pitch) to create different effects. </w:t>
            </w:r>
          </w:p>
          <w:p w14:paraId="4E53AEC3" w14:textId="4EB6EBD9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2,6</w:t>
            </w:r>
          </w:p>
          <w:p w14:paraId="6403E90B" w14:textId="77777777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>Find out how to sing with expression, confidence and creativity to an audience.</w:t>
            </w:r>
          </w:p>
          <w:p w14:paraId="4884A357" w14:textId="34A694E1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1,6,7,9,10</w:t>
            </w:r>
          </w:p>
        </w:tc>
      </w:tr>
      <w:tr w:rsidR="00472136" w:rsidRPr="008E715F" w14:paraId="1C515F89" w14:textId="77777777" w:rsidTr="00472136">
        <w:trPr>
          <w:trHeight w:val="1194"/>
        </w:trPr>
        <w:tc>
          <w:tcPr>
            <w:tcW w:w="2255" w:type="dxa"/>
            <w:shd w:val="clear" w:color="auto" w:fill="BFBFBF" w:themeFill="background1" w:themeFillShade="BF"/>
          </w:tcPr>
          <w:p w14:paraId="5D6C97E6" w14:textId="77777777" w:rsidR="00472136" w:rsidRPr="008E715F" w:rsidRDefault="00472136" w:rsidP="00472136">
            <w:pPr>
              <w:rPr>
                <w:rFonts w:ascii="Twinkl" w:hAnsi="Twinkl"/>
                <w:b/>
              </w:rPr>
            </w:pPr>
          </w:p>
          <w:p w14:paraId="5C76C873" w14:textId="77777777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</w:p>
          <w:p w14:paraId="6F0708F9" w14:textId="77777777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</w:p>
          <w:p w14:paraId="2A0C42CD" w14:textId="53F4BD17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  <w:r w:rsidRPr="008E715F">
              <w:rPr>
                <w:rFonts w:ascii="Twinkl" w:hAnsi="Twinkl"/>
                <w:b/>
              </w:rPr>
              <w:t>Play tuned and untuned instruments</w:t>
            </w:r>
          </w:p>
        </w:tc>
        <w:tc>
          <w:tcPr>
            <w:tcW w:w="8076" w:type="dxa"/>
          </w:tcPr>
          <w:p w14:paraId="57E6DCE8" w14:textId="75AA4970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 xml:space="preserve">Play instruments showing an awareness of others. </w:t>
            </w:r>
          </w:p>
          <w:p w14:paraId="20D03564" w14:textId="752B1EBC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1,2,6,12</w:t>
            </w:r>
          </w:p>
          <w:p w14:paraId="4EB59668" w14:textId="12470E02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 xml:space="preserve">Repeat and investigate simple beats and rhythms. </w:t>
            </w:r>
          </w:p>
          <w:p w14:paraId="4AF11202" w14:textId="682337FA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1,3,4,6</w:t>
            </w:r>
          </w:p>
          <w:p w14:paraId="275803BA" w14:textId="2A275673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 xml:space="preserve">Learn to play sounds linking with symbols. </w:t>
            </w:r>
          </w:p>
          <w:p w14:paraId="422C5172" w14:textId="14E684E1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2,4,5,7</w:t>
            </w:r>
          </w:p>
          <w:p w14:paraId="27D6F5B6" w14:textId="77777777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>Understand how to play an instrument with care and attention.</w:t>
            </w:r>
          </w:p>
          <w:p w14:paraId="4769F9CA" w14:textId="44DACC5C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2,11,12</w:t>
            </w:r>
          </w:p>
        </w:tc>
      </w:tr>
      <w:tr w:rsidR="00472136" w:rsidRPr="008E715F" w14:paraId="6930B2CF" w14:textId="77777777" w:rsidTr="00472136">
        <w:trPr>
          <w:trHeight w:val="1421"/>
        </w:trPr>
        <w:tc>
          <w:tcPr>
            <w:tcW w:w="2255" w:type="dxa"/>
            <w:shd w:val="clear" w:color="auto" w:fill="BFBFBF" w:themeFill="background1" w:themeFillShade="BF"/>
          </w:tcPr>
          <w:p w14:paraId="43C54D92" w14:textId="77777777" w:rsidR="00472136" w:rsidRPr="008E715F" w:rsidRDefault="00472136" w:rsidP="00472136">
            <w:pPr>
              <w:rPr>
                <w:rFonts w:ascii="Twinkl" w:hAnsi="Twinkl"/>
                <w:b/>
              </w:rPr>
            </w:pPr>
          </w:p>
          <w:p w14:paraId="0BCB1418" w14:textId="77777777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</w:p>
          <w:p w14:paraId="79EB83E6" w14:textId="77777777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</w:p>
          <w:p w14:paraId="033DAC04" w14:textId="08CEA062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  <w:r w:rsidRPr="008E715F">
              <w:rPr>
                <w:rFonts w:ascii="Twinkl" w:hAnsi="Twinkl"/>
                <w:b/>
              </w:rPr>
              <w:t>Listen with concentration and understanding</w:t>
            </w:r>
          </w:p>
        </w:tc>
        <w:tc>
          <w:tcPr>
            <w:tcW w:w="8076" w:type="dxa"/>
          </w:tcPr>
          <w:p w14:paraId="1C118776" w14:textId="18DEB2FA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 xml:space="preserve">Choose sounds to represent different things (ideas, thoughts, feelings, moods etc.). </w:t>
            </w:r>
          </w:p>
          <w:p w14:paraId="3284D439" w14:textId="1FF870E2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1,3</w:t>
            </w:r>
          </w:p>
          <w:p w14:paraId="67868385" w14:textId="190F5D61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 xml:space="preserve">Reflect on music and say how it makes people feel, act and move. </w:t>
            </w:r>
          </w:p>
          <w:p w14:paraId="7D7E2375" w14:textId="69E0632A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9,11,12</w:t>
            </w:r>
          </w:p>
          <w:p w14:paraId="71294CD8" w14:textId="77777777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>Respond to different composers and discuss different genres of music.</w:t>
            </w:r>
          </w:p>
          <w:p w14:paraId="7657A0E5" w14:textId="6DA347FF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2,7,10</w:t>
            </w:r>
          </w:p>
        </w:tc>
      </w:tr>
      <w:tr w:rsidR="00472136" w:rsidRPr="008E715F" w14:paraId="4B364ABF" w14:textId="77777777" w:rsidTr="00472136">
        <w:trPr>
          <w:trHeight w:val="1440"/>
        </w:trPr>
        <w:tc>
          <w:tcPr>
            <w:tcW w:w="2255" w:type="dxa"/>
            <w:shd w:val="clear" w:color="auto" w:fill="BFBFBF" w:themeFill="background1" w:themeFillShade="BF"/>
          </w:tcPr>
          <w:p w14:paraId="52178E96" w14:textId="77777777" w:rsidR="00472136" w:rsidRPr="008E715F" w:rsidRDefault="00472136" w:rsidP="00472136">
            <w:pPr>
              <w:rPr>
                <w:rFonts w:ascii="Twinkl" w:hAnsi="Twinkl"/>
                <w:b/>
              </w:rPr>
            </w:pPr>
          </w:p>
          <w:p w14:paraId="4FA7853B" w14:textId="77777777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</w:p>
          <w:p w14:paraId="1B089F59" w14:textId="77777777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</w:p>
          <w:p w14:paraId="6CC5FB56" w14:textId="68AEF562" w:rsidR="00472136" w:rsidRPr="008E715F" w:rsidRDefault="00472136" w:rsidP="00472136">
            <w:pPr>
              <w:jc w:val="center"/>
              <w:rPr>
                <w:rFonts w:ascii="Twinkl" w:hAnsi="Twinkl"/>
                <w:b/>
              </w:rPr>
            </w:pPr>
            <w:r w:rsidRPr="008E715F">
              <w:rPr>
                <w:rFonts w:ascii="Twinkl" w:hAnsi="Twinkl"/>
                <w:b/>
              </w:rPr>
              <w:t>Experiment with, create, select and combine sounds</w:t>
            </w:r>
          </w:p>
        </w:tc>
        <w:tc>
          <w:tcPr>
            <w:tcW w:w="8076" w:type="dxa"/>
          </w:tcPr>
          <w:p w14:paraId="2B2CCE9B" w14:textId="2C0DF148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 xml:space="preserve">Create a sequence of long and short sounds with help, including clapping longer rhythms. </w:t>
            </w:r>
          </w:p>
          <w:p w14:paraId="2DEE2382" w14:textId="734589EB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1,3,5</w:t>
            </w:r>
          </w:p>
          <w:p w14:paraId="70FEDA56" w14:textId="4DC8E558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 xml:space="preserve">Investigate making sounds that are very different (loud and quiet, high and low etc.). </w:t>
            </w:r>
          </w:p>
          <w:p w14:paraId="2F134D3E" w14:textId="1F712B87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2,6</w:t>
            </w:r>
          </w:p>
          <w:p w14:paraId="553A0C78" w14:textId="2EFD3AE0" w:rsidR="00472136" w:rsidRPr="008E715F" w:rsidRDefault="00472136" w:rsidP="004721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8E715F">
              <w:rPr>
                <w:rFonts w:ascii="Twinkl" w:hAnsi="Twinkl"/>
              </w:rPr>
              <w:t>Explore own ideas and change as desired.</w:t>
            </w:r>
          </w:p>
          <w:p w14:paraId="79E667F9" w14:textId="2D235B7C" w:rsidR="00472136" w:rsidRPr="008E715F" w:rsidRDefault="00472136" w:rsidP="00472136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8E715F">
              <w:rPr>
                <w:rFonts w:ascii="Twinkl" w:hAnsi="Twinkl"/>
                <w:color w:val="7030A0"/>
              </w:rPr>
              <w:t>3,4,5,6,10,11</w:t>
            </w:r>
          </w:p>
        </w:tc>
      </w:tr>
    </w:tbl>
    <w:p w14:paraId="04C07734" w14:textId="694CE228" w:rsid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  <w:r w:rsidRPr="00654A0C">
        <w:rPr>
          <w:rFonts w:ascii="Twinkl" w:hAnsi="Twinkl"/>
          <w:color w:val="7030A0"/>
          <w:sz w:val="28"/>
          <w:szCs w:val="28"/>
        </w:rPr>
        <w:t>Purple numbers refer to song number from Sing Up sc</w:t>
      </w:r>
      <w:bookmarkStart w:id="0" w:name="_GoBack"/>
      <w:bookmarkEnd w:id="0"/>
      <w:r w:rsidRPr="00654A0C">
        <w:rPr>
          <w:rFonts w:ascii="Twinkl" w:hAnsi="Twinkl"/>
          <w:color w:val="7030A0"/>
          <w:sz w:val="28"/>
          <w:szCs w:val="28"/>
        </w:rPr>
        <w:t>heme of Work, demonstrating coverage</w:t>
      </w:r>
      <w:r>
        <w:rPr>
          <w:rFonts w:ascii="Twinkl" w:hAnsi="Twinkl"/>
          <w:color w:val="7030A0"/>
          <w:sz w:val="28"/>
          <w:szCs w:val="28"/>
        </w:rPr>
        <w:t xml:space="preserve"> of skills.</w:t>
      </w:r>
    </w:p>
    <w:p w14:paraId="0976CDCD" w14:textId="77777777" w:rsidR="00654A0C" w:rsidRP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sectPr w:rsidR="00654A0C" w:rsidRPr="00654A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BC4E" w14:textId="77777777" w:rsidR="00340C89" w:rsidRDefault="00340C89" w:rsidP="00654A0C">
      <w:pPr>
        <w:spacing w:after="0" w:line="240" w:lineRule="auto"/>
      </w:pPr>
      <w:r>
        <w:separator/>
      </w:r>
    </w:p>
  </w:endnote>
  <w:endnote w:type="continuationSeparator" w:id="0">
    <w:p w14:paraId="0AA0C95E" w14:textId="77777777" w:rsidR="00340C89" w:rsidRDefault="00340C89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F437" w14:textId="77777777" w:rsidR="00340C89" w:rsidRDefault="00340C89" w:rsidP="00654A0C">
      <w:pPr>
        <w:spacing w:after="0" w:line="240" w:lineRule="auto"/>
      </w:pPr>
      <w:r>
        <w:separator/>
      </w:r>
    </w:p>
  </w:footnote>
  <w:footnote w:type="continuationSeparator" w:id="0">
    <w:p w14:paraId="556E5E35" w14:textId="77777777" w:rsidR="00340C89" w:rsidRDefault="00340C89" w:rsidP="0065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pPr w:vertAnchor="page" w:horzAnchor="page" w:tblpY="555"/>
      <w:tblOverlap w:val="never"/>
      <w:tblW w:w="2700" w:type="dxa"/>
      <w:tblInd w:w="0" w:type="dxa"/>
      <w:tblCellMar>
        <w:top w:w="75" w:type="dxa"/>
        <w:left w:w="955" w:type="dxa"/>
        <w:right w:w="115" w:type="dxa"/>
      </w:tblCellMar>
      <w:tblLook w:val="04A0" w:firstRow="1" w:lastRow="0" w:firstColumn="1" w:lastColumn="0" w:noHBand="0" w:noVBand="1"/>
    </w:tblPr>
    <w:tblGrid>
      <w:gridCol w:w="2700"/>
    </w:tblGrid>
    <w:tr w:rsidR="001E6334" w14:paraId="59FA629B" w14:textId="77777777" w:rsidTr="001E6334">
      <w:trPr>
        <w:trHeight w:val="595"/>
      </w:trPr>
      <w:tc>
        <w:tcPr>
          <w:tcW w:w="2700" w:type="dxa"/>
          <w:shd w:val="clear" w:color="auto" w:fill="1B75BB"/>
          <w:hideMark/>
        </w:tcPr>
        <w:p w14:paraId="709D34AA" w14:textId="77777777" w:rsidR="001E6334" w:rsidRDefault="001E6334" w:rsidP="001E6334">
          <w:pPr>
            <w:spacing w:line="256" w:lineRule="auto"/>
          </w:pPr>
          <w:r>
            <w:rPr>
              <w:color w:val="FFFFFF"/>
              <w:sz w:val="40"/>
            </w:rPr>
            <w:t xml:space="preserve">MUSIC </w:t>
          </w:r>
        </w:p>
      </w:tc>
    </w:tr>
  </w:tbl>
  <w:p w14:paraId="32284B09" w14:textId="7B2A90B6" w:rsidR="00654A0C" w:rsidRPr="00654A0C" w:rsidRDefault="001E6334" w:rsidP="00654A0C">
    <w:pPr>
      <w:pStyle w:val="Header"/>
      <w:jc w:val="center"/>
      <w:rPr>
        <w:rFonts w:ascii="Twinkl" w:hAnsi="Twinkl"/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D17DD" wp14:editId="534362F0">
          <wp:simplePos x="0" y="0"/>
          <wp:positionH relativeFrom="margin">
            <wp:posOffset>5700658</wp:posOffset>
          </wp:positionH>
          <wp:positionV relativeFrom="margin">
            <wp:posOffset>-662151</wp:posOffset>
          </wp:positionV>
          <wp:extent cx="724535" cy="724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A0C" w:rsidRPr="00654A0C">
      <w:rPr>
        <w:rFonts w:ascii="Twinkl" w:hAnsi="Twinkl"/>
        <w:b/>
        <w:bCs/>
        <w:sz w:val="32"/>
        <w:szCs w:val="32"/>
        <w:u w:val="single"/>
      </w:rPr>
      <w:t xml:space="preserve">Music Skills for </w:t>
    </w:r>
    <w:r w:rsidR="009D0F6F">
      <w:rPr>
        <w:rFonts w:ascii="Twinkl" w:hAnsi="Twinkl"/>
        <w:b/>
        <w:bCs/>
        <w:sz w:val="32"/>
        <w:szCs w:val="32"/>
        <w:u w:val="single"/>
      </w:rPr>
      <w:t>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0FA3"/>
    <w:multiLevelType w:val="hybridMultilevel"/>
    <w:tmpl w:val="A73C5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C"/>
    <w:rsid w:val="00067C0E"/>
    <w:rsid w:val="001E6334"/>
    <w:rsid w:val="00340C89"/>
    <w:rsid w:val="00472136"/>
    <w:rsid w:val="00654A0C"/>
    <w:rsid w:val="008E715F"/>
    <w:rsid w:val="009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A4117"/>
  <w15:chartTrackingRefBased/>
  <w15:docId w15:val="{82766E1D-64E4-4904-A27F-57EE664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0C"/>
  </w:style>
  <w:style w:type="paragraph" w:styleId="Footer">
    <w:name w:val="footer"/>
    <w:basedOn w:val="Normal"/>
    <w:link w:val="Foot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0C"/>
  </w:style>
  <w:style w:type="table" w:customStyle="1" w:styleId="TableGrid0">
    <w:name w:val="TableGrid"/>
    <w:rsid w:val="001E633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0A2A-E215-4C5D-B68B-7B8F806D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6</cp:revision>
  <dcterms:created xsi:type="dcterms:W3CDTF">2020-03-07T15:24:00Z</dcterms:created>
  <dcterms:modified xsi:type="dcterms:W3CDTF">2022-11-25T11:37:00Z</dcterms:modified>
</cp:coreProperties>
</file>